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06" w:rsidRDefault="00A20A06" w:rsidP="00741A00">
      <w:pPr>
        <w:autoSpaceDE w:val="0"/>
        <w:autoSpaceDN w:val="0"/>
        <w:adjustRightInd w:val="0"/>
        <w:spacing w:after="0" w:line="240" w:lineRule="auto"/>
        <w:ind w:firstLine="540"/>
        <w:jc w:val="both"/>
        <w:rPr>
          <w:rFonts w:ascii="Times New Roman" w:hAnsi="Times New Roman" w:cs="Times New Roman"/>
          <w:sz w:val="28"/>
          <w:szCs w:val="28"/>
        </w:rPr>
      </w:pPr>
    </w:p>
    <w:p w:rsidR="00983D43" w:rsidRDefault="00983D43" w:rsidP="00983D43">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N 1</w:t>
      </w:r>
    </w:p>
    <w:p w:rsidR="00983D43" w:rsidRDefault="00983D43" w:rsidP="00983D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Правилам предоставления</w:t>
      </w:r>
    </w:p>
    <w:p w:rsidR="00983D43" w:rsidRDefault="00983D43" w:rsidP="00983D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коммунальных услуг собственникам</w:t>
      </w:r>
    </w:p>
    <w:p w:rsidR="00983D43" w:rsidRDefault="00983D43" w:rsidP="00983D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пользователям помещений</w:t>
      </w:r>
    </w:p>
    <w:p w:rsidR="00983D43" w:rsidRDefault="00983D43" w:rsidP="00983D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многоквартирных домах</w:t>
      </w:r>
    </w:p>
    <w:p w:rsidR="00983D43" w:rsidRDefault="00983D43" w:rsidP="00983D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жилых домов</w:t>
      </w:r>
    </w:p>
    <w:p w:rsidR="00983D43" w:rsidRDefault="00983D43" w:rsidP="00983D43">
      <w:pPr>
        <w:autoSpaceDE w:val="0"/>
        <w:autoSpaceDN w:val="0"/>
        <w:adjustRightInd w:val="0"/>
        <w:spacing w:after="0" w:line="240" w:lineRule="auto"/>
        <w:ind w:firstLine="540"/>
        <w:jc w:val="right"/>
        <w:rPr>
          <w:rFonts w:ascii="Times New Roman" w:hAnsi="Times New Roman" w:cs="Times New Roman"/>
          <w:sz w:val="28"/>
          <w:szCs w:val="28"/>
        </w:rPr>
      </w:pPr>
    </w:p>
    <w:p w:rsidR="00F96D42" w:rsidRPr="00E35CFF" w:rsidRDefault="00F96D42" w:rsidP="001731CE">
      <w:pPr>
        <w:spacing w:after="0"/>
        <w:jc w:val="both"/>
        <w:rPr>
          <w:rFonts w:ascii="Times New Roman" w:hAnsi="Times New Roman" w:cs="Times New Roman"/>
          <w:sz w:val="28"/>
          <w:szCs w:val="28"/>
        </w:rPr>
      </w:pPr>
    </w:p>
    <w:p w:rsidR="00F50941" w:rsidRDefault="00F50941" w:rsidP="001731CE">
      <w:pPr>
        <w:spacing w:after="0"/>
        <w:jc w:val="both"/>
        <w:rPr>
          <w:rFonts w:ascii="Times New Roman" w:hAnsi="Times New Roman" w:cs="Times New Roman"/>
          <w:sz w:val="28"/>
          <w:szCs w:val="28"/>
        </w:rPr>
      </w:pPr>
    </w:p>
    <w:p w:rsidR="00F50941" w:rsidRDefault="00F50941" w:rsidP="00F509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 К КАЧЕСТВУ КОММУНАЛЬНЫХ УСЛУГ</w:t>
      </w:r>
    </w:p>
    <w:p w:rsidR="00F50941" w:rsidRDefault="00F50941" w:rsidP="00F50941">
      <w:pPr>
        <w:autoSpaceDE w:val="0"/>
        <w:autoSpaceDN w:val="0"/>
        <w:adjustRightInd w:val="0"/>
        <w:spacing w:after="0" w:line="240" w:lineRule="auto"/>
        <w:jc w:val="center"/>
        <w:outlineLvl w:val="0"/>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4"/>
        <w:gridCol w:w="3094"/>
        <w:gridCol w:w="4187"/>
      </w:tblGrid>
      <w:tr w:rsidR="00F50941">
        <w:tc>
          <w:tcPr>
            <w:tcW w:w="2524" w:type="dxa"/>
            <w:tcBorders>
              <w:top w:val="single" w:sz="4" w:space="0" w:color="auto"/>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rPr>
                <w:rFonts w:ascii="Times New Roman" w:hAnsi="Times New Roman" w:cs="Times New Roman"/>
                <w:sz w:val="28"/>
                <w:szCs w:val="28"/>
              </w:rPr>
            </w:pPr>
          </w:p>
        </w:tc>
        <w:tc>
          <w:tcPr>
            <w:tcW w:w="3094" w:type="dxa"/>
            <w:tcBorders>
              <w:top w:val="single" w:sz="4" w:space="0" w:color="auto"/>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50941">
        <w:tc>
          <w:tcPr>
            <w:tcW w:w="9805" w:type="dxa"/>
            <w:gridSpan w:val="3"/>
            <w:tcBorders>
              <w:top w:val="single" w:sz="4" w:space="0" w:color="auto"/>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 Холодное водоснабжение</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подачи холодной воды:</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w:t>
            </w:r>
            <w:r>
              <w:rPr>
                <w:rFonts w:ascii="Times New Roman" w:hAnsi="Times New Roman" w:cs="Times New Roman"/>
                <w:sz w:val="28"/>
                <w:szCs w:val="28"/>
              </w:rPr>
              <w:lastRenderedPageBreak/>
              <w:t>водопроводных сетей и сооружений (СНиП 2.04.02-84*)</w:t>
            </w:r>
          </w:p>
        </w:tc>
        <w:tc>
          <w:tcPr>
            <w:tcW w:w="4187" w:type="dxa"/>
            <w:tcMar>
              <w:top w:w="102" w:type="dxa"/>
              <w:left w:w="62" w:type="dxa"/>
              <w:bottom w:w="102" w:type="dxa"/>
              <w:right w:w="62" w:type="dxa"/>
            </w:tcMar>
          </w:tcPr>
          <w:p w:rsidR="00F50941" w:rsidRDefault="00F50941" w:rsidP="00E35C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w:t>
            </w:r>
            <w:r w:rsidR="00E35CFF">
              <w:rPr>
                <w:rFonts w:ascii="Times New Roman" w:hAnsi="Times New Roman" w:cs="Times New Roman"/>
                <w:sz w:val="28"/>
                <w:szCs w:val="28"/>
              </w:rPr>
              <w:t xml:space="preserve"> приложением № 2 </w:t>
            </w:r>
            <w:r>
              <w:rPr>
                <w:rFonts w:ascii="Times New Roman" w:hAnsi="Times New Roman" w:cs="Times New Roman"/>
                <w:sz w:val="28"/>
                <w:szCs w:val="28"/>
              </w:rPr>
              <w:t xml:space="preserve">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w:t>
            </w:r>
            <w:r>
              <w:rPr>
                <w:rFonts w:ascii="Times New Roman" w:hAnsi="Times New Roman" w:cs="Times New Roman"/>
                <w:sz w:val="28"/>
                <w:szCs w:val="28"/>
              </w:rPr>
              <w:lastRenderedPageBreak/>
              <w:t xml:space="preserve">положений </w:t>
            </w:r>
            <w:r w:rsidRPr="00E35CFF">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Постоянное соответствие состава и свойств холодной воды требованиям </w:t>
            </w:r>
            <w:r w:rsidRPr="00E35CFF">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w:t>
            </w:r>
            <w:r w:rsidRPr="00E35CFF">
              <w:rPr>
                <w:rFonts w:ascii="Times New Roman" w:hAnsi="Times New Roman" w:cs="Times New Roman"/>
                <w:sz w:val="28"/>
                <w:szCs w:val="28"/>
              </w:rPr>
              <w:t>(СанПиН 2.1.4.1074-01)</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несоответствии состава и свойств холодной воды требованиям </w:t>
            </w:r>
            <w:r w:rsidRPr="00E35CFF">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r w:rsidRPr="00E35CFF">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E35CFF">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Давление в системе холодного водоснабжения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xml:space="preserve"> </w:t>
            </w:r>
            <w:r w:rsidRPr="00E35CFF">
              <w:rPr>
                <w:rFonts w:ascii="Times New Roman" w:hAnsi="Times New Roman" w:cs="Times New Roman"/>
                <w:sz w:val="28"/>
                <w:szCs w:val="28"/>
              </w:rPr>
              <w:t>&lt;1&gt;</w:t>
            </w:r>
            <w:r>
              <w:rPr>
                <w:rFonts w:ascii="Times New Roman" w:hAnsi="Times New Roman" w:cs="Times New Roman"/>
                <w:sz w:val="28"/>
                <w:szCs w:val="28"/>
              </w:rPr>
              <w:t>:</w:t>
            </w:r>
          </w:p>
          <w:p w:rsidR="00F50941" w:rsidRDefault="00F509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многоквартирных домах и жилых домах - от 0,03 МПа (0,3 кгс/кв. см) до 0,6 МПа (6 кгс/кв. см);</w:t>
            </w:r>
          </w:p>
          <w:p w:rsidR="00F50941" w:rsidRDefault="00F509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 водоразборных колонок - не менее 0,1 МПа (1 кгс/кв. см)</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давления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каждый час подачи холодной воды суммарно в течение расчетного периода, в котором произошло отклонение давления: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r w:rsidRPr="00E35CFF">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r w:rsidRPr="006C651C">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w:t>
            </w:r>
            <w:r>
              <w:rPr>
                <w:rFonts w:ascii="Times New Roman" w:hAnsi="Times New Roman" w:cs="Times New Roman"/>
                <w:sz w:val="28"/>
                <w:szCs w:val="28"/>
              </w:rPr>
              <w:lastRenderedPageBreak/>
              <w:t xml:space="preserve">коммунальной услуги ненадлежащего качества (независимо от показаний приборов учета) в соответствии с </w:t>
            </w:r>
            <w:r w:rsidRPr="006C651C">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II. Горячее водоснабжение</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подачи горячей воды:</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часов (суммарно) в течение 1 месяца, 4 часа единовременно, при аварии на тупиковой магистрали - 24 часа подряд;</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r w:rsidRPr="006C651C">
              <w:rPr>
                <w:rFonts w:ascii="Times New Roman" w:hAnsi="Times New Roman" w:cs="Times New Roman"/>
                <w:sz w:val="28"/>
                <w:szCs w:val="28"/>
              </w:rPr>
              <w:t>(СанПиН 2.1.4.2496-09)</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r w:rsidRPr="006C651C">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6C651C">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Обеспечение соответствия температуры горячей воды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требованиям </w:t>
            </w:r>
            <w:r w:rsidRPr="009417D0">
              <w:rPr>
                <w:rFonts w:ascii="Times New Roman" w:hAnsi="Times New Roman" w:cs="Times New Roman"/>
                <w:sz w:val="28"/>
                <w:szCs w:val="28"/>
              </w:rPr>
              <w:t xml:space="preserve">законодательства </w:t>
            </w:r>
            <w:r>
              <w:rPr>
                <w:rFonts w:ascii="Times New Roman" w:hAnsi="Times New Roman" w:cs="Times New Roman"/>
                <w:sz w:val="28"/>
                <w:szCs w:val="28"/>
              </w:rPr>
              <w:t xml:space="preserve">Российской Федерации о техническом регулировании </w:t>
            </w:r>
            <w:r w:rsidRPr="009417D0">
              <w:rPr>
                <w:rFonts w:ascii="Times New Roman" w:hAnsi="Times New Roman" w:cs="Times New Roman"/>
                <w:sz w:val="28"/>
                <w:szCs w:val="28"/>
              </w:rPr>
              <w:t>(СанПиН 2.1.4.2496-09) &lt;2&gt;</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допустимое отклонение температуры горячей воды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xml:space="preserve"> от температуры горячей </w:t>
            </w:r>
            <w:r>
              <w:rPr>
                <w:rFonts w:ascii="Times New Roman" w:hAnsi="Times New Roman" w:cs="Times New Roman"/>
                <w:sz w:val="28"/>
                <w:szCs w:val="28"/>
              </w:rPr>
              <w:lastRenderedPageBreak/>
              <w:t xml:space="preserve">воды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соответствующей требованиям законодательства Российской Федерации о техническом регулировании:</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ночное время (с 0.00 до 5.00 часов) - не более чем на 5 °C;</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дневное время (с 5.00 до 00.00 часов) - не более чем на 3 °C</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w:t>
            </w:r>
            <w:r>
              <w:rPr>
                <w:rFonts w:ascii="Times New Roman" w:hAnsi="Times New Roman" w:cs="Times New Roman"/>
                <w:sz w:val="28"/>
                <w:szCs w:val="28"/>
              </w:rPr>
              <w:lastRenderedPageBreak/>
              <w:t xml:space="preserve">котором произошло указанное отступление, снижается на 0,1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за каждый час отступления от допустимых отклонений суммарно в течение расчетного периода с учетом положений </w:t>
            </w:r>
            <w:r w:rsidRPr="009417D0">
              <w:rPr>
                <w:rFonts w:ascii="Times New Roman" w:hAnsi="Times New Roman" w:cs="Times New Roman"/>
                <w:sz w:val="28"/>
                <w:szCs w:val="28"/>
              </w:rPr>
              <w:t>раздела IX</w:t>
            </w:r>
            <w:r>
              <w:rPr>
                <w:rFonts w:ascii="Times New Roman" w:hAnsi="Times New Roman" w:cs="Times New Roman"/>
                <w:sz w:val="28"/>
                <w:szCs w:val="28"/>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Постоянное соответствие состава и свойств горячей воды требованиям </w:t>
            </w:r>
            <w:r w:rsidRPr="009417D0">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w:t>
            </w:r>
            <w:r w:rsidRPr="009417D0">
              <w:rPr>
                <w:rFonts w:ascii="Times New Roman" w:hAnsi="Times New Roman" w:cs="Times New Roman"/>
                <w:sz w:val="28"/>
                <w:szCs w:val="28"/>
              </w:rPr>
              <w:t>(СанПиН 2.1.4.2496-09)</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9417D0">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Давление в системе горячего водоснабжения в точке разбора - от 0,03 МПа (0,3 кгс/кв. см) до 0,45 МПа (4,5 кгс/кв. см) </w:t>
            </w:r>
            <w:r w:rsidRPr="009417D0">
              <w:rPr>
                <w:rFonts w:ascii="Times New Roman" w:hAnsi="Times New Roman" w:cs="Times New Roman"/>
                <w:sz w:val="28"/>
                <w:szCs w:val="28"/>
              </w:rPr>
              <w:t>&lt;1&gt;</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каждый час подачи горячей воды суммарно в течение расчетного периода, в котором произошло отклонение давления: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не более чем на 25 процентов, размер платы за коммунальную услугу за </w:t>
            </w:r>
            <w:r>
              <w:rPr>
                <w:rFonts w:ascii="Times New Roman" w:hAnsi="Times New Roman" w:cs="Times New Roman"/>
                <w:sz w:val="28"/>
                <w:szCs w:val="28"/>
              </w:rPr>
              <w:lastRenderedPageBreak/>
              <w:t xml:space="preserve">указанный расчетный период снижается на 0,1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9417D0">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III. Водоотведение</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Бесперебойное круглосуточное водоотведение в течение года</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водоотведения: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8 часов (суммарно) в течение 1 месяца,</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часа единовременно (в том числе при аварии)</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r w:rsidRPr="00E35CFF">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E35CFF">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IV. Электроснабжение</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Бесперебойное круглосуточное электроснабжение в течение года </w:t>
            </w:r>
            <w:r w:rsidRPr="009417D0">
              <w:rPr>
                <w:rFonts w:ascii="Times New Roman" w:hAnsi="Times New Roman" w:cs="Times New Roman"/>
                <w:sz w:val="28"/>
                <w:szCs w:val="28"/>
              </w:rPr>
              <w:t>&lt;3&gt;</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электроснабжения: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часа - при наличии двух независимых взаимно резервирующих источников питания </w:t>
            </w:r>
            <w:r w:rsidRPr="009417D0">
              <w:rPr>
                <w:rFonts w:ascii="Times New Roman" w:hAnsi="Times New Roman" w:cs="Times New Roman"/>
                <w:sz w:val="28"/>
                <w:szCs w:val="28"/>
              </w:rPr>
              <w:t>&lt;4&gt;</w:t>
            </w:r>
            <w:r>
              <w:rPr>
                <w:rFonts w:ascii="Times New Roman" w:hAnsi="Times New Roman" w:cs="Times New Roman"/>
                <w:sz w:val="28"/>
                <w:szCs w:val="28"/>
              </w:rPr>
              <w:t>;</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 часа - при наличии 1 источника питания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каждый час превышения допустимой продолжительности перерыва электроснабжения, исчисленной суммарно за </w:t>
            </w:r>
            <w:r>
              <w:rPr>
                <w:rFonts w:ascii="Times New Roman" w:hAnsi="Times New Roman" w:cs="Times New Roman"/>
                <w:sz w:val="28"/>
                <w:szCs w:val="28"/>
              </w:rPr>
              <w:lastRenderedPageBreak/>
              <w:t xml:space="preserve">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9417D0">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 Постоянное соответствие напряжения и частоты электрического тока требованиям </w:t>
            </w:r>
            <w:r w:rsidRPr="00E35CFF">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9417D0">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V. Газоснабжение</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Бесперебойное круглосуточное газоснабжение в течение года</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rPr>
                <w:rFonts w:ascii="Times New Roman" w:hAnsi="Times New Roman" w:cs="Times New Roman"/>
                <w:sz w:val="28"/>
                <w:szCs w:val="28"/>
              </w:rPr>
              <w:lastRenderedPageBreak/>
              <w:t xml:space="preserve">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9417D0">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12. Постоянное соответствие свойств подаваемого газа требованиям </w:t>
            </w:r>
            <w:r w:rsidRPr="009417D0">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9417D0">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Давление газа - от 0,0012 МПа до 0,003 МПа</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отклонение давления газа более чем на 0,0005 МПа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w:t>
            </w:r>
            <w:r>
              <w:rPr>
                <w:rFonts w:ascii="Times New Roman" w:hAnsi="Times New Roman" w:cs="Times New Roman"/>
                <w:sz w:val="28"/>
                <w:szCs w:val="28"/>
              </w:rPr>
              <w:lastRenderedPageBreak/>
              <w:t xml:space="preserve">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9417D0">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r w:rsidR="00F50941">
        <w:tc>
          <w:tcPr>
            <w:tcW w:w="9805" w:type="dxa"/>
            <w:gridSpan w:val="3"/>
            <w:tcBorders>
              <w:right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VI. Отопление </w:t>
            </w:r>
            <w:r w:rsidRPr="009417D0">
              <w:rPr>
                <w:rFonts w:ascii="Times New Roman" w:hAnsi="Times New Roman" w:cs="Times New Roman"/>
                <w:sz w:val="28"/>
                <w:szCs w:val="28"/>
              </w:rPr>
              <w:t>&lt;5&gt;</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bookmarkStart w:id="1" w:name="Par71"/>
            <w:bookmarkEnd w:id="1"/>
            <w:r>
              <w:rPr>
                <w:rFonts w:ascii="Times New Roman" w:hAnsi="Times New Roman" w:cs="Times New Roman"/>
                <w:sz w:val="28"/>
                <w:szCs w:val="28"/>
              </w:rPr>
              <w:t xml:space="preserve">14. Бесперебойное круглосуточное отопление в течение отопительного периода </w:t>
            </w:r>
            <w:r w:rsidRPr="009417D0">
              <w:rPr>
                <w:rFonts w:ascii="Times New Roman" w:hAnsi="Times New Roman" w:cs="Times New Roman"/>
                <w:sz w:val="28"/>
                <w:szCs w:val="28"/>
              </w:rPr>
              <w:t>&lt;6&gt;</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допустимая продолжительность перерыва отопления: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24 часов (суммарно) в течение 1 месяца;</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16 часов единовременно - при температуре воздуха в жилых помещениях от +12 °C до нормативной температуры, указанной в </w:t>
            </w:r>
            <w:r w:rsidRPr="009417D0">
              <w:rPr>
                <w:rFonts w:ascii="Times New Roman" w:hAnsi="Times New Roman" w:cs="Times New Roman"/>
                <w:sz w:val="28"/>
                <w:szCs w:val="28"/>
              </w:rPr>
              <w:t>пункте 15</w:t>
            </w:r>
            <w:r>
              <w:rPr>
                <w:rFonts w:ascii="Times New Roman" w:hAnsi="Times New Roman" w:cs="Times New Roman"/>
                <w:sz w:val="28"/>
                <w:szCs w:val="28"/>
              </w:rPr>
              <w:t xml:space="preserve"> настоящего приложения;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8 часов единовременно - при температуре воздуха в жилых помещениях от +10 °C до +12 °C;</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r w:rsidRPr="009417D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 учетом положений </w:t>
            </w:r>
            <w:r w:rsidRPr="009417D0">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252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bookmarkStart w:id="2" w:name="Par78"/>
            <w:bookmarkEnd w:id="2"/>
            <w:r>
              <w:rPr>
                <w:rFonts w:ascii="Times New Roman" w:hAnsi="Times New Roman" w:cs="Times New Roman"/>
                <w:sz w:val="28"/>
                <w:szCs w:val="28"/>
              </w:rPr>
              <w:t xml:space="preserve">15. Обеспечение нормативной температуры воздуха </w:t>
            </w:r>
            <w:r w:rsidRPr="009417D0">
              <w:rPr>
                <w:rFonts w:ascii="Times New Roman" w:hAnsi="Times New Roman" w:cs="Times New Roman"/>
                <w:sz w:val="28"/>
                <w:szCs w:val="28"/>
              </w:rPr>
              <w:t>&lt;7&gt;</w:t>
            </w:r>
            <w:r>
              <w:rPr>
                <w:rFonts w:ascii="Times New Roman" w:hAnsi="Times New Roman" w:cs="Times New Roman"/>
                <w:sz w:val="28"/>
                <w:szCs w:val="28"/>
              </w:rPr>
              <w:t>:</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жилых помещениях - не ниже +18 °C (в угловых комнатах - +20 °C), в районах </w:t>
            </w:r>
            <w:r>
              <w:rPr>
                <w:rFonts w:ascii="Times New Roman" w:hAnsi="Times New Roman" w:cs="Times New Roman"/>
                <w:sz w:val="28"/>
                <w:szCs w:val="28"/>
              </w:rPr>
              <w:lastRenderedPageBreak/>
              <w:t>с температурой наиболее холодной пятидневки (обеспеченностью 0,92) -31 °C и ниже - в жилых помещениях - не ниже +20 °C (в угловых комнатах - +22 °C);</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других помещениях в соответствии с требованиями законодательства Российской Федерации о техническом регулировании </w:t>
            </w:r>
            <w:r w:rsidRPr="00741A00">
              <w:rPr>
                <w:rFonts w:ascii="Times New Roman" w:hAnsi="Times New Roman" w:cs="Times New Roman"/>
                <w:sz w:val="28"/>
                <w:szCs w:val="28"/>
              </w:rPr>
              <w:t>(ГОСТ Р 51617-2000)</w:t>
            </w:r>
          </w:p>
        </w:tc>
        <w:tc>
          <w:tcPr>
            <w:tcW w:w="3094"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допустимое превышение нормативной температуры - не более 4 °C;</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допустимое снижение нормативной температуры в ночное время суток (от 0.00 до </w:t>
            </w:r>
            <w:r>
              <w:rPr>
                <w:rFonts w:ascii="Times New Roman" w:hAnsi="Times New Roman" w:cs="Times New Roman"/>
                <w:sz w:val="28"/>
                <w:szCs w:val="28"/>
              </w:rPr>
              <w:lastRenderedPageBreak/>
              <w:t>5.00 часов) - не более 3 °C;</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w:t>
            </w:r>
            <w:r>
              <w:rPr>
                <w:rFonts w:ascii="Times New Roman" w:hAnsi="Times New Roman" w:cs="Times New Roman"/>
                <w:sz w:val="28"/>
                <w:szCs w:val="28"/>
              </w:rPr>
              <w:lastRenderedPageBreak/>
              <w:t xml:space="preserve">определенного за такой расчетный период в соответствии с </w:t>
            </w:r>
            <w:r w:rsidRPr="00741A0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за каждый градус отклонения температуры, с учетом положений </w:t>
            </w:r>
            <w:r w:rsidRPr="00741A00">
              <w:rPr>
                <w:rFonts w:ascii="Times New Roman" w:hAnsi="Times New Roman" w:cs="Times New Roman"/>
                <w:sz w:val="28"/>
                <w:szCs w:val="28"/>
              </w:rPr>
              <w:t>раздела IX</w:t>
            </w:r>
            <w:r>
              <w:rPr>
                <w:rFonts w:ascii="Times New Roman" w:hAnsi="Times New Roman" w:cs="Times New Roman"/>
                <w:sz w:val="28"/>
                <w:szCs w:val="28"/>
              </w:rPr>
              <w:t xml:space="preserve"> Правил</w:t>
            </w:r>
          </w:p>
        </w:tc>
      </w:tr>
      <w:tr w:rsidR="00F50941">
        <w:tc>
          <w:tcPr>
            <w:tcW w:w="2524" w:type="dxa"/>
            <w:tcBorders>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16. Давление во внутридомовой системе отопления:</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чугунными радиаторами - не более 0,6 МПа (6 кгс/кв. см);</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системами </w:t>
            </w:r>
            <w:proofErr w:type="spellStart"/>
            <w:r>
              <w:rPr>
                <w:rFonts w:ascii="Times New Roman" w:hAnsi="Times New Roman" w:cs="Times New Roman"/>
                <w:sz w:val="28"/>
                <w:szCs w:val="28"/>
              </w:rPr>
              <w:t>конвекторного</w:t>
            </w:r>
            <w:proofErr w:type="spellEnd"/>
            <w:r>
              <w:rPr>
                <w:rFonts w:ascii="Times New Roman" w:hAnsi="Times New Roman" w:cs="Times New Roman"/>
                <w:sz w:val="28"/>
                <w:szCs w:val="28"/>
              </w:rPr>
              <w:t xml:space="preserve"> и панельного отопления, калориферами, а также прочими отопительными приборами - не более 1 МПа (10 кгс/кв. см);</w:t>
            </w:r>
          </w:p>
          <w:p w:rsidR="00F50941" w:rsidRDefault="00F509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любыми отопительными приборами - не менее чем на 0,05 МПа (0,5 кгс/кв. </w:t>
            </w:r>
            <w:r>
              <w:rPr>
                <w:rFonts w:ascii="Times New Roman" w:hAnsi="Times New Roman" w:cs="Times New Roman"/>
                <w:sz w:val="28"/>
                <w:szCs w:val="28"/>
              </w:rPr>
              <w:lastRenderedPageBreak/>
              <w:t>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F50941" w:rsidRDefault="00F509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r w:rsidRPr="00741A00">
              <w:rPr>
                <w:rFonts w:ascii="Times New Roman" w:hAnsi="Times New Roman" w:cs="Times New Roman"/>
                <w:sz w:val="28"/>
                <w:szCs w:val="28"/>
              </w:rPr>
              <w:t>приложением N 2</w:t>
            </w:r>
            <w:r>
              <w:rPr>
                <w:rFonts w:ascii="Times New Roman" w:hAnsi="Times New Roman" w:cs="Times New Roman"/>
                <w:sz w:val="28"/>
                <w:szCs w:val="28"/>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r w:rsidRPr="00741A00">
              <w:rPr>
                <w:rFonts w:ascii="Times New Roman" w:hAnsi="Times New Roman" w:cs="Times New Roman"/>
                <w:sz w:val="28"/>
                <w:szCs w:val="28"/>
              </w:rPr>
              <w:t>пунктом 101</w:t>
            </w:r>
            <w:r>
              <w:rPr>
                <w:rFonts w:ascii="Times New Roman" w:hAnsi="Times New Roman" w:cs="Times New Roman"/>
                <w:sz w:val="28"/>
                <w:szCs w:val="28"/>
              </w:rPr>
              <w:t xml:space="preserve"> Правил</w:t>
            </w:r>
          </w:p>
        </w:tc>
      </w:tr>
    </w:tbl>
    <w:p w:rsidR="00F50941" w:rsidRDefault="00F50941" w:rsidP="00F50941">
      <w:pPr>
        <w:autoSpaceDE w:val="0"/>
        <w:autoSpaceDN w:val="0"/>
        <w:adjustRightInd w:val="0"/>
        <w:spacing w:after="0" w:line="240" w:lineRule="auto"/>
        <w:jc w:val="both"/>
        <w:rPr>
          <w:rFonts w:ascii="Times New Roman" w:hAnsi="Times New Roman" w:cs="Times New Roman"/>
          <w:sz w:val="28"/>
          <w:szCs w:val="28"/>
        </w:rPr>
      </w:pP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3" w:name="Par93"/>
      <w:bookmarkEnd w:id="3"/>
      <w:r>
        <w:rPr>
          <w:rFonts w:ascii="Times New Roman" w:hAnsi="Times New Roman" w:cs="Times New Roman"/>
          <w:sz w:val="28"/>
          <w:szCs w:val="28"/>
        </w:rPr>
        <w:t xml:space="preserve">&lt;1&gt; Давление в системах холодного или горячего водоснабжения измеряется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xml:space="preserve"> в часы утреннего максимума (с 7.00 до 9.00) или вечернего максимума (с 19.00 до 22.00).</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4" w:name="Par94"/>
      <w:bookmarkEnd w:id="4"/>
      <w:r>
        <w:rPr>
          <w:rFonts w:ascii="Times New Roman" w:hAnsi="Times New Roman" w:cs="Times New Roman"/>
          <w:sz w:val="28"/>
          <w:szCs w:val="28"/>
        </w:rPr>
        <w:t xml:space="preserve">&lt;2&gt; Перед определением температуры горячей воды в точке </w:t>
      </w:r>
      <w:proofErr w:type="spellStart"/>
      <w:r>
        <w:rPr>
          <w:rFonts w:ascii="Times New Roman" w:hAnsi="Times New Roman" w:cs="Times New Roman"/>
          <w:sz w:val="28"/>
          <w:szCs w:val="28"/>
        </w:rPr>
        <w:t>водоразбора</w:t>
      </w:r>
      <w:proofErr w:type="spellEnd"/>
      <w:r>
        <w:rPr>
          <w:rFonts w:ascii="Times New Roman" w:hAnsi="Times New Roman" w:cs="Times New Roman"/>
          <w:sz w:val="28"/>
          <w:szCs w:val="28"/>
        </w:rPr>
        <w:t xml:space="preserve"> производится слив воды в течение не более 3 минут.</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5" w:name="Par95"/>
      <w:bookmarkEnd w:id="5"/>
      <w:r>
        <w:rPr>
          <w:rFonts w:ascii="Times New Roman" w:hAnsi="Times New Roman" w:cs="Times New Roman"/>
          <w:sz w:val="28"/>
          <w:szCs w:val="28"/>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6" w:name="Par96"/>
      <w:bookmarkEnd w:id="6"/>
      <w:r>
        <w:rPr>
          <w:rFonts w:ascii="Times New Roman" w:hAnsi="Times New Roman" w:cs="Times New Roman"/>
          <w:sz w:val="28"/>
          <w:szCs w:val="28"/>
        </w:rPr>
        <w:t>&lt;4&gt; Информацию о наличии резервирующих источников питания электрической энергией потребитель получает у исполнителя.</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7" w:name="Par97"/>
      <w:bookmarkEnd w:id="7"/>
      <w:r>
        <w:rPr>
          <w:rFonts w:ascii="Times New Roman" w:hAnsi="Times New Roman" w:cs="Times New Roman"/>
          <w:sz w:val="28"/>
          <w:szCs w:val="28"/>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r w:rsidRPr="00741A00">
        <w:rPr>
          <w:rFonts w:ascii="Times New Roman" w:hAnsi="Times New Roman" w:cs="Times New Roman"/>
          <w:sz w:val="28"/>
          <w:szCs w:val="28"/>
        </w:rPr>
        <w:t>(ГОСТ Р 51617-2000)</w:t>
      </w:r>
      <w:r>
        <w:rPr>
          <w:rFonts w:ascii="Times New Roman" w:hAnsi="Times New Roman" w:cs="Times New Roman"/>
          <w:sz w:val="28"/>
          <w:szCs w:val="28"/>
        </w:rPr>
        <w:t>.</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8" w:name="Par98"/>
      <w:bookmarkEnd w:id="8"/>
      <w:r>
        <w:rPr>
          <w:rFonts w:ascii="Times New Roman" w:hAnsi="Times New Roman" w:cs="Times New Roman"/>
          <w:sz w:val="28"/>
          <w:szCs w:val="28"/>
        </w:rPr>
        <w:t xml:space="preserve">&lt;6&gt; В случае применения </w:t>
      </w:r>
      <w:r w:rsidRPr="00741A00">
        <w:rPr>
          <w:rFonts w:ascii="Times New Roman" w:hAnsi="Times New Roman" w:cs="Times New Roman"/>
          <w:sz w:val="28"/>
          <w:szCs w:val="28"/>
        </w:rPr>
        <w:t>пункта 14</w:t>
      </w:r>
      <w:r>
        <w:rPr>
          <w:rFonts w:ascii="Times New Roman" w:hAnsi="Times New Roman" w:cs="Times New Roman"/>
          <w:sz w:val="28"/>
          <w:szCs w:val="28"/>
        </w:rPr>
        <w:t xml:space="preserve"> настоящего приложения </w:t>
      </w:r>
      <w:r w:rsidRPr="00741A00">
        <w:rPr>
          <w:rFonts w:ascii="Times New Roman" w:hAnsi="Times New Roman" w:cs="Times New Roman"/>
          <w:sz w:val="28"/>
          <w:szCs w:val="28"/>
        </w:rPr>
        <w:t>пункт 15</w:t>
      </w:r>
      <w:r>
        <w:rPr>
          <w:rFonts w:ascii="Times New Roman" w:hAnsi="Times New Roman" w:cs="Times New Roman"/>
          <w:sz w:val="28"/>
          <w:szCs w:val="28"/>
        </w:rPr>
        <w:t xml:space="preserve"> настоящего приложения не применяется с момента начала перерыва в отоплении.</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bookmarkStart w:id="9" w:name="Par99"/>
      <w:bookmarkEnd w:id="9"/>
      <w:r>
        <w:rPr>
          <w:rFonts w:ascii="Times New Roman" w:hAnsi="Times New Roman" w:cs="Times New Roman"/>
          <w:sz w:val="28"/>
          <w:szCs w:val="28"/>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r w:rsidRPr="00741A00">
        <w:rPr>
          <w:rFonts w:ascii="Times New Roman" w:hAnsi="Times New Roman" w:cs="Times New Roman"/>
          <w:sz w:val="28"/>
          <w:szCs w:val="28"/>
        </w:rPr>
        <w:t>(ГОСТ 30494-96)</w:t>
      </w:r>
      <w:r>
        <w:rPr>
          <w:rFonts w:ascii="Times New Roman" w:hAnsi="Times New Roman" w:cs="Times New Roman"/>
          <w:sz w:val="28"/>
          <w:szCs w:val="28"/>
        </w:rPr>
        <w:t>.</w:t>
      </w: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p>
    <w:p w:rsidR="00F50941" w:rsidRDefault="00F50941" w:rsidP="00F509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В целях применения настоящего приложения подлежат использованию действующие нормы и требования </w:t>
      </w:r>
      <w:r w:rsidRPr="00741A00">
        <w:rPr>
          <w:rFonts w:ascii="Times New Roman" w:hAnsi="Times New Roman" w:cs="Times New Roman"/>
          <w:sz w:val="28"/>
          <w:szCs w:val="28"/>
        </w:rPr>
        <w:t>законодательства</w:t>
      </w:r>
      <w:r>
        <w:rPr>
          <w:rFonts w:ascii="Times New Roman" w:hAnsi="Times New Roman" w:cs="Times New Roman"/>
          <w:sz w:val="28"/>
          <w:szCs w:val="28"/>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w:t>
      </w:r>
      <w:r>
        <w:rPr>
          <w:rFonts w:ascii="Times New Roman" w:hAnsi="Times New Roman" w:cs="Times New Roman"/>
          <w:sz w:val="28"/>
          <w:szCs w:val="28"/>
        </w:rPr>
        <w:lastRenderedPageBreak/>
        <w:t>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854ACA" w:rsidRDefault="00854ACA" w:rsidP="00854ACA">
      <w:pPr>
        <w:tabs>
          <w:tab w:val="left" w:pos="7965"/>
        </w:tabs>
        <w:spacing w:after="0"/>
        <w:ind w:right="-427"/>
        <w:rPr>
          <w:rFonts w:ascii="Times New Roman" w:hAnsi="Times New Roman" w:cs="Times New Roman"/>
          <w:sz w:val="18"/>
          <w:szCs w:val="18"/>
        </w:rPr>
      </w:pPr>
    </w:p>
    <w:p w:rsidR="00854ACA" w:rsidRDefault="00854ACA" w:rsidP="00854ACA">
      <w:pPr>
        <w:tabs>
          <w:tab w:val="left" w:pos="7965"/>
        </w:tabs>
        <w:spacing w:after="0"/>
        <w:ind w:right="-427"/>
        <w:rPr>
          <w:rFonts w:ascii="Times New Roman" w:hAnsi="Times New Roman" w:cs="Times New Roman"/>
          <w:sz w:val="18"/>
          <w:szCs w:val="18"/>
        </w:rPr>
      </w:pPr>
    </w:p>
    <w:p w:rsidR="00854ACA" w:rsidRDefault="00854ACA" w:rsidP="00854ACA">
      <w:pPr>
        <w:tabs>
          <w:tab w:val="left" w:pos="7965"/>
        </w:tabs>
        <w:spacing w:after="0"/>
        <w:ind w:right="-427"/>
        <w:rPr>
          <w:rFonts w:ascii="Times New Roman" w:hAnsi="Times New Roman" w:cs="Times New Roman"/>
          <w:sz w:val="18"/>
          <w:szCs w:val="18"/>
        </w:rPr>
      </w:pPr>
    </w:p>
    <w:p w:rsidR="00854ACA" w:rsidRPr="00854ACA" w:rsidRDefault="00854ACA" w:rsidP="00854ACA">
      <w:pPr>
        <w:tabs>
          <w:tab w:val="left" w:pos="7965"/>
        </w:tabs>
        <w:spacing w:after="0"/>
        <w:ind w:right="-427"/>
        <w:rPr>
          <w:rFonts w:ascii="Times New Roman" w:hAnsi="Times New Roman" w:cs="Times New Roman"/>
          <w:sz w:val="18"/>
          <w:szCs w:val="18"/>
        </w:rPr>
      </w:pPr>
      <w:r w:rsidRPr="00854ACA">
        <w:rPr>
          <w:rFonts w:ascii="Times New Roman" w:hAnsi="Times New Roman" w:cs="Times New Roman"/>
          <w:sz w:val="18"/>
          <w:szCs w:val="18"/>
        </w:rPr>
        <w:t xml:space="preserve">Исполнитель: </w:t>
      </w:r>
    </w:p>
    <w:p w:rsidR="00854ACA" w:rsidRPr="00854ACA" w:rsidRDefault="00854ACA" w:rsidP="00854ACA">
      <w:pPr>
        <w:tabs>
          <w:tab w:val="left" w:pos="7965"/>
        </w:tabs>
        <w:spacing w:after="0"/>
        <w:ind w:right="-427"/>
        <w:rPr>
          <w:rFonts w:ascii="Times New Roman" w:hAnsi="Times New Roman" w:cs="Times New Roman"/>
          <w:sz w:val="18"/>
          <w:szCs w:val="18"/>
        </w:rPr>
      </w:pPr>
      <w:r w:rsidRPr="00854ACA">
        <w:rPr>
          <w:rFonts w:ascii="Times New Roman" w:hAnsi="Times New Roman" w:cs="Times New Roman"/>
          <w:sz w:val="18"/>
          <w:szCs w:val="18"/>
        </w:rPr>
        <w:t>Котов Сергей Михайлович</w:t>
      </w:r>
    </w:p>
    <w:p w:rsidR="00854ACA" w:rsidRPr="00854ACA" w:rsidRDefault="00854ACA" w:rsidP="00854ACA">
      <w:pPr>
        <w:tabs>
          <w:tab w:val="left" w:pos="7965"/>
        </w:tabs>
        <w:spacing w:after="0"/>
        <w:ind w:right="-427"/>
        <w:rPr>
          <w:rFonts w:ascii="Times New Roman" w:hAnsi="Times New Roman" w:cs="Times New Roman"/>
          <w:sz w:val="18"/>
          <w:szCs w:val="18"/>
        </w:rPr>
      </w:pPr>
      <w:r w:rsidRPr="00854ACA">
        <w:rPr>
          <w:rFonts w:ascii="Times New Roman" w:hAnsi="Times New Roman" w:cs="Times New Roman"/>
          <w:sz w:val="18"/>
          <w:szCs w:val="18"/>
        </w:rPr>
        <w:t>тел. 8(3467) 33-24-87</w:t>
      </w:r>
    </w:p>
    <w:p w:rsidR="00F50941" w:rsidRDefault="00F50941" w:rsidP="00854ACA">
      <w:pPr>
        <w:autoSpaceDE w:val="0"/>
        <w:autoSpaceDN w:val="0"/>
        <w:adjustRightInd w:val="0"/>
        <w:spacing w:after="0" w:line="240" w:lineRule="auto"/>
        <w:jc w:val="both"/>
        <w:rPr>
          <w:rFonts w:ascii="Times New Roman" w:hAnsi="Times New Roman" w:cs="Times New Roman"/>
          <w:sz w:val="28"/>
          <w:szCs w:val="28"/>
        </w:rPr>
      </w:pPr>
    </w:p>
    <w:sectPr w:rsidR="00F50941" w:rsidSect="00706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805F6D"/>
    <w:rsid w:val="000715E4"/>
    <w:rsid w:val="001731CE"/>
    <w:rsid w:val="005435DD"/>
    <w:rsid w:val="005A0841"/>
    <w:rsid w:val="00610D6E"/>
    <w:rsid w:val="006C651C"/>
    <w:rsid w:val="0070609A"/>
    <w:rsid w:val="00741A00"/>
    <w:rsid w:val="00753120"/>
    <w:rsid w:val="007C2A3F"/>
    <w:rsid w:val="007C5D2B"/>
    <w:rsid w:val="00805F6D"/>
    <w:rsid w:val="00854ACA"/>
    <w:rsid w:val="00897281"/>
    <w:rsid w:val="008D4B47"/>
    <w:rsid w:val="009417D0"/>
    <w:rsid w:val="00963880"/>
    <w:rsid w:val="00983D43"/>
    <w:rsid w:val="009A615D"/>
    <w:rsid w:val="009B1E05"/>
    <w:rsid w:val="00A20A06"/>
    <w:rsid w:val="00A53B53"/>
    <w:rsid w:val="00A831F0"/>
    <w:rsid w:val="00E35CFF"/>
    <w:rsid w:val="00EB6275"/>
    <w:rsid w:val="00EC554C"/>
    <w:rsid w:val="00F50941"/>
    <w:rsid w:val="00F9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3D3FF-1617-4868-A3F0-C665B303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11</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KotovSM</dc:creator>
  <cp:lastModifiedBy>Андрей Попков</cp:lastModifiedBy>
  <cp:revision>14</cp:revision>
  <cp:lastPrinted>2015-04-13T15:02:00Z</cp:lastPrinted>
  <dcterms:created xsi:type="dcterms:W3CDTF">2015-04-13T09:42:00Z</dcterms:created>
  <dcterms:modified xsi:type="dcterms:W3CDTF">2015-04-14T08:51:00Z</dcterms:modified>
</cp:coreProperties>
</file>